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28DA7">
      <w:pPr>
        <w:jc w:val="right"/>
        <w:rPr>
          <w:rFonts w:ascii="Times New Roman" w:hAnsi="Times New Roman" w:eastAsia="Times New Roman"/>
          <w:sz w:val="24"/>
          <w:szCs w:val="23"/>
          <w:shd w:val="clear" w:color="auto" w:fill="FFFFFF"/>
        </w:rPr>
      </w:pPr>
      <w:bookmarkStart w:id="0" w:name="_GoBack"/>
      <w:bookmarkEnd w:id="0"/>
      <w:r>
        <w:rPr>
          <w:rFonts w:ascii="Times New Roman" w:hAnsi="Times New Roman" w:eastAsia="Times New Roman"/>
          <w:sz w:val="24"/>
          <w:szCs w:val="23"/>
          <w:shd w:val="clear" w:color="auto" w:fill="FFFFFF"/>
        </w:rPr>
        <w:t>Anexa nr. 3 la Statutul orașului Vașcău</w:t>
      </w:r>
    </w:p>
    <w:p w14:paraId="5F76796E">
      <w:pPr>
        <w:jc w:val="right"/>
        <w:rPr>
          <w:rFonts w:ascii="Times New Roman" w:hAnsi="Times New Roman" w:eastAsia="Times New Roman"/>
          <w:sz w:val="24"/>
          <w:szCs w:val="23"/>
          <w:shd w:val="clear" w:color="auto" w:fill="FFFFFF"/>
        </w:rPr>
      </w:pPr>
    </w:p>
    <w:p w14:paraId="623861FF">
      <w:pPr>
        <w:jc w:val="center"/>
        <w:rPr>
          <w:rFonts w:ascii="Times New Roman" w:hAnsi="Times New Roman" w:eastAsia="Times New Roman"/>
          <w:sz w:val="24"/>
          <w:szCs w:val="23"/>
          <w:shd w:val="clear" w:color="auto" w:fill="FFFFFF"/>
        </w:rPr>
      </w:pPr>
      <w:r>
        <w:rPr>
          <w:rFonts w:ascii="Times New Roman" w:hAnsi="Times New Roman" w:eastAsia="Times New Roman"/>
          <w:sz w:val="24"/>
          <w:szCs w:val="23"/>
          <w:shd w:val="clear" w:color="auto" w:fill="FFFFFF"/>
        </w:rPr>
        <w:t>Evoluția istorică a orașului Vașcău, județul Bihor</w:t>
      </w:r>
    </w:p>
    <w:p w14:paraId="1D1AE5DA">
      <w:pPr>
        <w:jc w:val="center"/>
        <w:rPr>
          <w:rFonts w:ascii="Times New Roman" w:hAnsi="Times New Roman" w:eastAsia="Times New Roman"/>
          <w:color w:val="C00000"/>
          <w:sz w:val="23"/>
          <w:szCs w:val="23"/>
          <w:shd w:val="clear" w:color="auto" w:fill="FFFFFF"/>
        </w:rPr>
      </w:pPr>
    </w:p>
    <w:p w14:paraId="38CD881F">
      <w:pPr>
        <w:pStyle w:val="7"/>
        <w:spacing w:before="0" w:beforeAutospacing="0" w:after="240" w:afterAutospacing="0"/>
        <w:ind w:firstLine="720"/>
        <w:jc w:val="both"/>
      </w:pPr>
      <w:r>
        <w:t xml:space="preserve"> Începuturile vie</w:t>
      </w:r>
      <w:r>
        <w:rPr>
          <w:rFonts w:ascii="Tahoma" w:hAnsi="Tahoma"/>
        </w:rPr>
        <w:t>ț</w:t>
      </w:r>
      <w:r>
        <w:t>ii omeneşti în zona oraşului Vaşcău sunt atestate arheologic încă din paleolitic. Bogă</w:t>
      </w:r>
      <w:r>
        <w:rPr>
          <w:rFonts w:ascii="Tahoma" w:hAnsi="Tahoma"/>
        </w:rPr>
        <w:t>ț</w:t>
      </w:r>
      <w:r>
        <w:t>ia bazinului hidrografic, climatul destul de blând şi formele de relief, cu întinse zone muntoase acoperite de păduri, au creat condi</w:t>
      </w:r>
      <w:r>
        <w:rPr>
          <w:rFonts w:ascii="Tahoma" w:hAnsi="Tahoma"/>
        </w:rPr>
        <w:t>ț</w:t>
      </w:r>
      <w:r>
        <w:t>ii pentru formarea de aşezări omeneşti aproape una lângă alta, deci cu însemnate concentrări de popula</w:t>
      </w:r>
      <w:r>
        <w:rPr>
          <w:rFonts w:ascii="Tahoma" w:hAnsi="Tahoma"/>
        </w:rPr>
        <w:t>ț</w:t>
      </w:r>
      <w:r>
        <w:t>ie.</w:t>
      </w:r>
    </w:p>
    <w:p w14:paraId="78DC0996">
      <w:pPr>
        <w:pStyle w:val="7"/>
        <w:spacing w:before="0" w:beforeAutospacing="0" w:after="0" w:afterAutospacing="0"/>
        <w:jc w:val="both"/>
        <w:rPr>
          <w:color w:val="000000"/>
        </w:rPr>
      </w:pPr>
      <w:r>
        <w:t xml:space="preserve">           Cea mai veche men</w:t>
      </w:r>
      <w:r>
        <w:rPr>
          <w:rFonts w:ascii="Tahoma" w:hAnsi="Tahoma"/>
        </w:rPr>
        <w:t>ț</w:t>
      </w:r>
      <w:r>
        <w:t>iune documentară care indică o atestare certă a localită</w:t>
      </w:r>
      <w:r>
        <w:rPr>
          <w:rFonts w:ascii="Tahoma" w:hAnsi="Tahoma"/>
        </w:rPr>
        <w:t>ț</w:t>
      </w:r>
      <w:r>
        <w:t>ii Vaşcău este cea din Conscrierea por</w:t>
      </w:r>
      <w:r>
        <w:rPr>
          <w:rFonts w:ascii="Tahoma" w:hAnsi="Tahoma"/>
        </w:rPr>
        <w:t>ț</w:t>
      </w:r>
      <w:r>
        <w:t>ilor „Liber regius”, întocmită în anul 1552 de fiscul regal, unde Vaşcăul apare men</w:t>
      </w:r>
      <w:r>
        <w:rPr>
          <w:rFonts w:ascii="Tahoma" w:hAnsi="Tahoma"/>
        </w:rPr>
        <w:t>ț</w:t>
      </w:r>
      <w:r>
        <w:t xml:space="preserve">ionat sub denumirea de </w:t>
      </w:r>
      <w:r>
        <w:rPr>
          <w:i/>
        </w:rPr>
        <w:t>Nagykoh(ó)</w:t>
      </w:r>
      <w:r>
        <w:t xml:space="preserve"> („Cuptorul Mare”); în acelaşi timp apar men</w:t>
      </w:r>
      <w:r>
        <w:rPr>
          <w:rFonts w:ascii="Tahoma" w:hAnsi="Tahoma"/>
        </w:rPr>
        <w:t>ț</w:t>
      </w:r>
      <w:r>
        <w:t>ionate şi localită</w:t>
      </w:r>
      <w:r>
        <w:rPr>
          <w:rFonts w:ascii="Tahoma" w:hAnsi="Tahoma"/>
        </w:rPr>
        <w:t>ț</w:t>
      </w:r>
      <w:r>
        <w:t xml:space="preserve">ile </w:t>
      </w:r>
      <w:r>
        <w:fldChar w:fldCharType="begin"/>
      </w:r>
      <w:r>
        <w:instrText xml:space="preserve"> HYPERLINK "http://ro.wikipedia.org/w/index.php?title=V%C4%83rzari_de_Sus&amp;action=edit&amp;redlink=1" \o "Vărzari de Sus — pagină inexistentă" </w:instrText>
      </w:r>
      <w:r>
        <w:fldChar w:fldCharType="separate"/>
      </w:r>
      <w:r>
        <w:rPr>
          <w:rStyle w:val="6"/>
          <w:color w:val="000000"/>
          <w:u w:val="none"/>
        </w:rPr>
        <w:t>Vărzari de Sus</w:t>
      </w:r>
      <w:r>
        <w:rPr>
          <w:rStyle w:val="6"/>
          <w:color w:val="000000"/>
          <w:u w:val="none"/>
        </w:rPr>
        <w:fldChar w:fldCharType="end"/>
      </w:r>
      <w:r>
        <w:rPr>
          <w:color w:val="000000"/>
        </w:rPr>
        <w:t xml:space="preserve"> şi </w:t>
      </w:r>
      <w:r>
        <w:fldChar w:fldCharType="begin"/>
      </w:r>
      <w:r>
        <w:instrText xml:space="preserve"> HYPERLINK "http://ro.wikipedia.org/w/index.php?title=V%C4%83rzari_de_Jos&amp;action=edit&amp;redlink=1" \o "Vărzari de Jos — pagină inexistentă" </w:instrText>
      </w:r>
      <w:r>
        <w:fldChar w:fldCharType="separate"/>
      </w:r>
      <w:r>
        <w:rPr>
          <w:rStyle w:val="6"/>
          <w:color w:val="000000"/>
          <w:u w:val="none"/>
        </w:rPr>
        <w:t>Vărzari de Jos</w:t>
      </w:r>
      <w:r>
        <w:rPr>
          <w:rStyle w:val="6"/>
          <w:color w:val="000000"/>
          <w:u w:val="none"/>
        </w:rPr>
        <w:fldChar w:fldCharType="end"/>
      </w:r>
      <w:r>
        <w:rPr>
          <w:color w:val="000000"/>
        </w:rPr>
        <w:t>, împreună cu alte două localită</w:t>
      </w:r>
      <w:r>
        <w:rPr>
          <w:rFonts w:ascii="Tahoma" w:hAnsi="Tahoma"/>
          <w:color w:val="000000"/>
        </w:rPr>
        <w:t>ț</w:t>
      </w:r>
      <w:r>
        <w:rPr>
          <w:color w:val="000000"/>
        </w:rPr>
        <w:t>i, acestea dispărute ulterior. Începând cu sec. al XVIII-lea, respectiv anul 1851 denumirea oraşului va ilustra principala bogă</w:t>
      </w:r>
      <w:r>
        <w:rPr>
          <w:rFonts w:ascii="Tahoma" w:hAnsi="Tahoma"/>
          <w:color w:val="000000"/>
        </w:rPr>
        <w:t>ț</w:t>
      </w:r>
      <w:r>
        <w:rPr>
          <w:color w:val="000000"/>
        </w:rPr>
        <w:t>ie şi ocupa</w:t>
      </w:r>
      <w:r>
        <w:rPr>
          <w:rFonts w:ascii="Tahoma" w:hAnsi="Tahoma"/>
          <w:color w:val="000000"/>
        </w:rPr>
        <w:t>ț</w:t>
      </w:r>
      <w:r>
        <w:rPr>
          <w:color w:val="000000"/>
        </w:rPr>
        <w:t xml:space="preserve">ia de bază a locuitorilor, aceea de lucrători la fierărie: </w:t>
      </w:r>
      <w:r>
        <w:rPr>
          <w:i/>
          <w:color w:val="000000"/>
        </w:rPr>
        <w:t>vaskoh</w:t>
      </w:r>
      <w:r>
        <w:rPr>
          <w:color w:val="000000"/>
        </w:rPr>
        <w:t xml:space="preserve"> – nume provenit din limba maghiară şi format din două cuvinte: vas „fier” şi </w:t>
      </w:r>
      <w:r>
        <w:rPr>
          <w:i/>
          <w:color w:val="000000"/>
        </w:rPr>
        <w:t>kohó</w:t>
      </w:r>
      <w:r>
        <w:rPr>
          <w:color w:val="000000"/>
        </w:rPr>
        <w:t xml:space="preserve"> „cuptor de topit, furnal”.</w:t>
      </w:r>
    </w:p>
    <w:p w14:paraId="14748894">
      <w:pPr>
        <w:pStyle w:val="7"/>
        <w:spacing w:before="0" w:beforeAutospacing="0" w:after="0" w:afterAutospacing="0"/>
        <w:jc w:val="both"/>
        <w:rPr>
          <w:color w:val="000000"/>
        </w:rPr>
      </w:pPr>
      <w:r>
        <w:rPr>
          <w:color w:val="000000"/>
        </w:rPr>
        <w:t xml:space="preserve">          Dintre cele mai vechi şi mai importante îndeletniciri ale locuitorilor din oraşul Vaşcău şi satele apar</w:t>
      </w:r>
      <w:r>
        <w:rPr>
          <w:rFonts w:ascii="Tahoma" w:hAnsi="Tahoma"/>
          <w:color w:val="000000"/>
        </w:rPr>
        <w:t>ț</w:t>
      </w:r>
      <w:r>
        <w:rPr>
          <w:color w:val="000000"/>
        </w:rPr>
        <w:t>inătoare se pot aminti: cultura cartofului şi creşterea vitelor, prelucrarea fierului, olăritul, cioplitul în piatră de marmură, cojocăritul, cizmăritul, cioplitul în lemn, zidăritul şi dulgheritul, fabricarea şi valorificarea varului, fabricarea şi valorificarea băuturilor spirtoase, morăritul, crâşmăritul.</w:t>
      </w:r>
    </w:p>
    <w:p w14:paraId="2D147A46">
      <w:pPr>
        <w:pStyle w:val="7"/>
        <w:spacing w:before="0" w:beforeAutospacing="0" w:after="0" w:afterAutospacing="0"/>
        <w:jc w:val="both"/>
        <w:rPr>
          <w:color w:val="000000"/>
        </w:rPr>
      </w:pPr>
      <w:r>
        <w:rPr>
          <w:color w:val="000000"/>
        </w:rPr>
        <w:t xml:space="preserve">            Până în secolul XIX Vaşcăul a făcut parte din </w:t>
      </w:r>
      <w:r>
        <w:rPr>
          <w:rFonts w:ascii="Tahoma" w:hAnsi="Tahoma"/>
          <w:color w:val="000000"/>
        </w:rPr>
        <w:t>ț</w:t>
      </w:r>
      <w:r>
        <w:rPr>
          <w:color w:val="000000"/>
        </w:rPr>
        <w:t xml:space="preserve">inutul Beiuşului, în 1886 Vaşcăul apare ca plasă independentă de </w:t>
      </w:r>
      <w:r>
        <w:fldChar w:fldCharType="begin"/>
      </w:r>
      <w:r>
        <w:instrText xml:space="preserve"> HYPERLINK "http://ro.wikipedia.org/wiki/Beiu%C8%99" \o "Beiuș" </w:instrText>
      </w:r>
      <w:r>
        <w:fldChar w:fldCharType="separate"/>
      </w:r>
      <w:r>
        <w:rPr>
          <w:rStyle w:val="6"/>
          <w:color w:val="000000"/>
          <w:u w:val="none"/>
        </w:rPr>
        <w:t>Beiuş</w:t>
      </w:r>
      <w:r>
        <w:rPr>
          <w:rStyle w:val="6"/>
          <w:color w:val="000000"/>
          <w:u w:val="none"/>
        </w:rPr>
        <w:fldChar w:fldCharType="end"/>
      </w:r>
      <w:r>
        <w:rPr>
          <w:color w:val="000000"/>
        </w:rPr>
        <w:t>, având 42 de localită</w:t>
      </w:r>
      <w:r>
        <w:rPr>
          <w:rFonts w:ascii="Tahoma" w:hAnsi="Tahoma"/>
          <w:color w:val="000000"/>
        </w:rPr>
        <w:t>ț</w:t>
      </w:r>
      <w:r>
        <w:rPr>
          <w:color w:val="000000"/>
        </w:rPr>
        <w:t>i. Popula</w:t>
      </w:r>
      <w:r>
        <w:rPr>
          <w:rFonts w:ascii="Tahoma" w:hAnsi="Tahoma"/>
          <w:color w:val="000000"/>
        </w:rPr>
        <w:t>ț</w:t>
      </w:r>
      <w:r>
        <w:rPr>
          <w:color w:val="000000"/>
        </w:rPr>
        <w:t>ia localită</w:t>
      </w:r>
      <w:r>
        <w:rPr>
          <w:rFonts w:ascii="Tahoma" w:hAnsi="Tahoma"/>
          <w:color w:val="000000"/>
        </w:rPr>
        <w:t>ț</w:t>
      </w:r>
      <w:r>
        <w:rPr>
          <w:color w:val="000000"/>
        </w:rPr>
        <w:t>ii Vaşcău era de aproximativ 70 de persoane în 1600, ajungând la 472 persoane în 1784 şi la 1264 locuitori în 1910.</w:t>
      </w:r>
    </w:p>
    <w:p w14:paraId="5BF299E0">
      <w:pPr>
        <w:pStyle w:val="7"/>
        <w:spacing w:before="0" w:beforeAutospacing="0" w:after="240" w:afterAutospacing="0"/>
        <w:jc w:val="both"/>
        <w:rPr>
          <w:color w:val="000000"/>
        </w:rPr>
      </w:pPr>
      <w:r>
        <w:rPr>
          <w:color w:val="000000"/>
        </w:rPr>
        <w:t xml:space="preserve">           </w:t>
      </w:r>
      <w:r>
        <w:fldChar w:fldCharType="begin"/>
      </w:r>
      <w:r>
        <w:instrText xml:space="preserve"> HYPERLINK "http://ro.wikipedia.org/wiki/R%C4%83scoala_lui_Horea,_Clo%C8%99ca_%C8%99i_Cri%C8%99an" \o "Răscoala lui Horea, Cloșca și Crișan" </w:instrText>
      </w:r>
      <w:r>
        <w:fldChar w:fldCharType="separate"/>
      </w:r>
      <w:r>
        <w:rPr>
          <w:rStyle w:val="6"/>
          <w:color w:val="000000"/>
          <w:u w:val="none"/>
        </w:rPr>
        <w:t>Revolta din 1784</w:t>
      </w:r>
      <w:r>
        <w:rPr>
          <w:rStyle w:val="6"/>
          <w:color w:val="000000"/>
          <w:u w:val="none"/>
        </w:rPr>
        <w:fldChar w:fldCharType="end"/>
      </w:r>
      <w:r>
        <w:rPr>
          <w:color w:val="000000"/>
        </w:rPr>
        <w:t xml:space="preserve"> a cuprins şi păr</w:t>
      </w:r>
      <w:r>
        <w:rPr>
          <w:rFonts w:ascii="Tahoma" w:hAnsi="Tahoma"/>
          <w:color w:val="000000"/>
        </w:rPr>
        <w:t>ț</w:t>
      </w:r>
      <w:r>
        <w:rPr>
          <w:color w:val="000000"/>
        </w:rPr>
        <w:t xml:space="preserve">ile Vaşcăului unde a fost adusă o centurie a legiunii de Vins şi unde se consemnează faptul că </w:t>
      </w:r>
      <w:r>
        <w:fldChar w:fldCharType="begin"/>
      </w:r>
      <w:r>
        <w:instrText xml:space="preserve"> HYPERLINK "http://ro.wikipedia.org/wiki/Protopop" \o "Protopop" </w:instrText>
      </w:r>
      <w:r>
        <w:fldChar w:fldCharType="separate"/>
      </w:r>
      <w:r>
        <w:rPr>
          <w:rStyle w:val="6"/>
          <w:color w:val="000000"/>
          <w:u w:val="none"/>
        </w:rPr>
        <w:t>protopopul</w:t>
      </w:r>
      <w:r>
        <w:rPr>
          <w:rStyle w:val="6"/>
          <w:color w:val="000000"/>
          <w:u w:val="none"/>
        </w:rPr>
        <w:fldChar w:fldCharType="end"/>
      </w:r>
      <w:r>
        <w:rPr>
          <w:color w:val="000000"/>
        </w:rPr>
        <w:t xml:space="preserve"> de </w:t>
      </w:r>
      <w:r>
        <w:fldChar w:fldCharType="begin"/>
      </w:r>
      <w:r>
        <w:instrText xml:space="preserve"> HYPERLINK "http://ro.wikipedia.org/wiki/Beiu%C8%99" \o "Beiuș" </w:instrText>
      </w:r>
      <w:r>
        <w:fldChar w:fldCharType="separate"/>
      </w:r>
      <w:r>
        <w:rPr>
          <w:rStyle w:val="6"/>
          <w:color w:val="000000"/>
          <w:u w:val="none"/>
        </w:rPr>
        <w:t>Beiuş</w:t>
      </w:r>
      <w:r>
        <w:rPr>
          <w:rStyle w:val="6"/>
          <w:color w:val="000000"/>
          <w:u w:val="none"/>
        </w:rPr>
        <w:fldChar w:fldCharType="end"/>
      </w:r>
      <w:r>
        <w:rPr>
          <w:color w:val="000000"/>
        </w:rPr>
        <w:t xml:space="preserve"> a citit în târgul de la Vaşcău scrisoarea vicecomitelui, care îi îndemna pe localnici să nu dea ascultare răscula</w:t>
      </w:r>
      <w:r>
        <w:rPr>
          <w:rFonts w:ascii="Tahoma" w:hAnsi="Tahoma"/>
          <w:color w:val="000000"/>
        </w:rPr>
        <w:t>ț</w:t>
      </w:r>
      <w:r>
        <w:rPr>
          <w:color w:val="000000"/>
        </w:rPr>
        <w:t>ilor.</w:t>
      </w:r>
    </w:p>
    <w:p w14:paraId="243CB5EC">
      <w:pPr>
        <w:pStyle w:val="7"/>
        <w:spacing w:before="0" w:beforeAutospacing="0" w:after="0" w:afterAutospacing="0"/>
        <w:ind w:firstLine="720"/>
        <w:jc w:val="both"/>
      </w:pPr>
      <w:r>
        <w:rPr>
          <w:color w:val="000000"/>
        </w:rPr>
        <w:t>Vaşcăul a fost prins şi în vâltoarea evenimentelor revolu</w:t>
      </w:r>
      <w:r>
        <w:rPr>
          <w:rFonts w:ascii="Tahoma" w:hAnsi="Tahoma"/>
          <w:color w:val="000000"/>
        </w:rPr>
        <w:t>ț</w:t>
      </w:r>
      <w:r>
        <w:rPr>
          <w:color w:val="000000"/>
        </w:rPr>
        <w:t xml:space="preserve">ionare de la </w:t>
      </w:r>
      <w:r>
        <w:fldChar w:fldCharType="begin"/>
      </w:r>
      <w:r>
        <w:instrText xml:space="preserve"> HYPERLINK "http://ro.wikipedia.org/wiki/1848" \o "1848" </w:instrText>
      </w:r>
      <w:r>
        <w:fldChar w:fldCharType="separate"/>
      </w:r>
      <w:r>
        <w:rPr>
          <w:rStyle w:val="6"/>
          <w:color w:val="000000"/>
          <w:u w:val="none"/>
        </w:rPr>
        <w:t>1848</w:t>
      </w:r>
      <w:r>
        <w:rPr>
          <w:rStyle w:val="6"/>
          <w:color w:val="000000"/>
          <w:u w:val="none"/>
        </w:rPr>
        <w:fldChar w:fldCharType="end"/>
      </w:r>
      <w:r>
        <w:rPr>
          <w:color w:val="000000"/>
        </w:rPr>
        <w:t xml:space="preserve"> – </w:t>
      </w:r>
      <w:r>
        <w:fldChar w:fldCharType="begin"/>
      </w:r>
      <w:r>
        <w:instrText xml:space="preserve"> HYPERLINK "http://ro.wikipedia.org/wiki/1849" \o "1849" </w:instrText>
      </w:r>
      <w:r>
        <w:fldChar w:fldCharType="separate"/>
      </w:r>
      <w:r>
        <w:rPr>
          <w:rStyle w:val="6"/>
          <w:color w:val="000000"/>
          <w:u w:val="none"/>
        </w:rPr>
        <w:t>1849</w:t>
      </w:r>
      <w:r>
        <w:rPr>
          <w:rStyle w:val="6"/>
          <w:color w:val="000000"/>
          <w:u w:val="none"/>
        </w:rPr>
        <w:fldChar w:fldCharType="end"/>
      </w:r>
      <w:r>
        <w:rPr>
          <w:color w:val="000000"/>
        </w:rPr>
        <w:t xml:space="preserve">, dar mai cu seamă în evenimentele </w:t>
      </w:r>
      <w:r>
        <w:fldChar w:fldCharType="begin"/>
      </w:r>
      <w:r>
        <w:instrText xml:space="preserve"> HYPERLINK "http://ro.wikipedia.org/wiki/Marea_Unire_din_1918" \o "Marea Unire din 1918" </w:instrText>
      </w:r>
      <w:r>
        <w:fldChar w:fldCharType="separate"/>
      </w:r>
      <w:r>
        <w:rPr>
          <w:rStyle w:val="6"/>
          <w:color w:val="000000"/>
          <w:u w:val="none"/>
        </w:rPr>
        <w:t>Marii Uniri</w:t>
      </w:r>
      <w:r>
        <w:rPr>
          <w:rStyle w:val="6"/>
          <w:color w:val="000000"/>
          <w:u w:val="none"/>
        </w:rPr>
        <w:fldChar w:fldCharType="end"/>
      </w:r>
      <w:r>
        <w:rPr>
          <w:color w:val="000000"/>
        </w:rPr>
        <w:t xml:space="preserve"> din </w:t>
      </w:r>
      <w:r>
        <w:fldChar w:fldCharType="begin"/>
      </w:r>
      <w:r>
        <w:instrText xml:space="preserve"> HYPERLINK "http://ro.wikipedia.org/wiki/1918" \o "1918" </w:instrText>
      </w:r>
      <w:r>
        <w:fldChar w:fldCharType="separate"/>
      </w:r>
      <w:r>
        <w:rPr>
          <w:rStyle w:val="6"/>
          <w:color w:val="000000"/>
          <w:u w:val="none"/>
        </w:rPr>
        <w:t>1918</w:t>
      </w:r>
      <w:r>
        <w:rPr>
          <w:rStyle w:val="6"/>
          <w:color w:val="000000"/>
          <w:u w:val="none"/>
        </w:rPr>
        <w:fldChar w:fldCharType="end"/>
      </w:r>
      <w:r>
        <w:rPr>
          <w:color w:val="000000"/>
        </w:rPr>
        <w:t>. Din Consiliul Na</w:t>
      </w:r>
      <w:r>
        <w:rPr>
          <w:rFonts w:ascii="Tahoma" w:hAnsi="Tahoma"/>
          <w:color w:val="000000"/>
        </w:rPr>
        <w:t>ț</w:t>
      </w:r>
      <w:r>
        <w:rPr>
          <w:color w:val="000000"/>
        </w:rPr>
        <w:t xml:space="preserve">ional Român pentru Oradea şi Bihor făceau parte şi Ioan Ovesea (contabil la banca </w:t>
      </w:r>
      <w:r>
        <w:rPr>
          <w:rFonts w:ascii="Tahoma" w:hAnsi="Tahoma"/>
          <w:color w:val="000000"/>
        </w:rPr>
        <w:t>Ș</w:t>
      </w:r>
      <w:r>
        <w:rPr>
          <w:color w:val="000000"/>
        </w:rPr>
        <w:t>oimul din Vaşcău), dr. Augustin Ciurdariu (avocat în Vaşcău) şi Vasile Negru (proprietar în Vaşcău). Vaşcăul şi-a trimis delega</w:t>
      </w:r>
      <w:r>
        <w:rPr>
          <w:rFonts w:ascii="Tahoma" w:hAnsi="Tahoma"/>
          <w:color w:val="000000"/>
        </w:rPr>
        <w:t>ț</w:t>
      </w:r>
      <w:r>
        <w:rPr>
          <w:color w:val="000000"/>
        </w:rPr>
        <w:t>ii la Marea Adunare Na</w:t>
      </w:r>
      <w:r>
        <w:rPr>
          <w:rFonts w:ascii="Tahoma" w:hAnsi="Tahoma"/>
          <w:color w:val="000000"/>
        </w:rPr>
        <w:t>ț</w:t>
      </w:r>
      <w:r>
        <w:rPr>
          <w:color w:val="000000"/>
        </w:rPr>
        <w:t>ională de la Alba Iulia: Adrian Deseanu (</w:t>
      </w:r>
      <w:r>
        <w:fldChar w:fldCharType="begin"/>
      </w:r>
      <w:r>
        <w:instrText xml:space="preserve"> HYPERLINK "http://ro.wikipedia.org/wiki/Protopop" \o "Protopop" </w:instrText>
      </w:r>
      <w:r>
        <w:fldChar w:fldCharType="separate"/>
      </w:r>
      <w:r>
        <w:rPr>
          <w:rStyle w:val="6"/>
          <w:color w:val="000000"/>
          <w:u w:val="none"/>
        </w:rPr>
        <w:t>protopop</w:t>
      </w:r>
      <w:r>
        <w:rPr>
          <w:rStyle w:val="6"/>
          <w:color w:val="000000"/>
          <w:u w:val="none"/>
        </w:rPr>
        <w:fldChar w:fldCharType="end"/>
      </w:r>
      <w:r>
        <w:rPr>
          <w:color w:val="000000"/>
        </w:rPr>
        <w:t>), dr. Augustin Ciurdariu, Alexandru Sala (învă</w:t>
      </w:r>
      <w:r>
        <w:rPr>
          <w:rFonts w:ascii="Tahoma" w:hAnsi="Tahoma"/>
          <w:color w:val="000000"/>
        </w:rPr>
        <w:t>ț</w:t>
      </w:r>
      <w:r>
        <w:rPr>
          <w:color w:val="000000"/>
        </w:rPr>
        <w:t>ător), Maxim Nonu (con</w:t>
      </w:r>
      <w:r>
        <w:t>tabil).</w:t>
      </w:r>
    </w:p>
    <w:p w14:paraId="19D99579">
      <w:pPr>
        <w:pStyle w:val="7"/>
        <w:spacing w:before="0" w:beforeAutospacing="0" w:after="240" w:afterAutospacing="0"/>
        <w:ind w:firstLine="720"/>
        <w:jc w:val="both"/>
      </w:pPr>
      <w:r>
        <w:t>La Vaşcău s-a creat şi o gardă na</w:t>
      </w:r>
      <w:r>
        <w:rPr>
          <w:rFonts w:ascii="Tahoma" w:hAnsi="Tahoma"/>
        </w:rPr>
        <w:t>ț</w:t>
      </w:r>
      <w:r>
        <w:t>ională, condusă de locotenentul Petre Popovici, care a avut misiunea de a asigura trecerea administra</w:t>
      </w:r>
      <w:r>
        <w:rPr>
          <w:rFonts w:ascii="Tahoma" w:hAnsi="Tahoma"/>
        </w:rPr>
        <w:t>ț</w:t>
      </w:r>
      <w:r>
        <w:t>iei de la autorită</w:t>
      </w:r>
      <w:r>
        <w:rPr>
          <w:rFonts w:ascii="Tahoma" w:hAnsi="Tahoma"/>
        </w:rPr>
        <w:t>ț</w:t>
      </w:r>
      <w:r>
        <w:t>ile maghiare la cele române, acest lucru realizându-se deja la 11 ianuarie 1919.</w:t>
      </w:r>
    </w:p>
    <w:p w14:paraId="29075150">
      <w:pPr>
        <w:pStyle w:val="7"/>
        <w:spacing w:before="0" w:beforeAutospacing="0" w:after="240" w:afterAutospacing="0"/>
        <w:ind w:firstLine="720"/>
        <w:jc w:val="both"/>
      </w:pPr>
      <w:r>
        <w:t xml:space="preserve">In anul 1887 se construieste prima cale ferata, </w:t>
      </w:r>
      <w:r>
        <w:rPr>
          <w:bCs/>
          <w:shd w:val="clear" w:color="auto" w:fill="FFFFFF"/>
        </w:rPr>
        <w:t>tronsonul Beiuș – Vașcău fiind finalizat la 14.11.1887, iar i</w:t>
      </w:r>
      <w:r>
        <w:t>n anul 1905 are loc electrificarea localitătii Vașcău.</w:t>
      </w:r>
    </w:p>
    <w:p w14:paraId="7545CD26">
      <w:pPr>
        <w:pStyle w:val="7"/>
        <w:spacing w:before="0" w:beforeAutospacing="0" w:after="0" w:afterAutospacing="0"/>
        <w:ind w:firstLine="720"/>
        <w:jc w:val="both"/>
      </w:pPr>
      <w:r>
        <w:t>După Unire ,Vaşcăul a devenit plasă a jude</w:t>
      </w:r>
      <w:r>
        <w:rPr>
          <w:rFonts w:ascii="Tahoma" w:hAnsi="Tahoma"/>
        </w:rPr>
        <w:t>ț</w:t>
      </w:r>
      <w:r>
        <w:t>ului Bihor, în urma reformei agrare din 1921 au fost împroprietări</w:t>
      </w:r>
      <w:r>
        <w:rPr>
          <w:rFonts w:ascii="Tahoma" w:hAnsi="Tahoma"/>
        </w:rPr>
        <w:t>ț</w:t>
      </w:r>
      <w:r>
        <w:t xml:space="preserve">i </w:t>
      </w:r>
      <w:r>
        <w:rPr>
          <w:rFonts w:ascii="Tahoma" w:hAnsi="Tahoma"/>
        </w:rPr>
        <w:t>ț</w:t>
      </w:r>
      <w:r>
        <w:t>ăranii de aici cu terenurile expropriate de la Episcopia Romano-Catolică şi de la cea Greco-Catolică.</w:t>
      </w:r>
    </w:p>
    <w:p w14:paraId="0B9061E2">
      <w:pPr>
        <w:pStyle w:val="7"/>
        <w:spacing w:before="0" w:beforeAutospacing="0" w:after="0" w:afterAutospacing="0"/>
        <w:ind w:firstLine="720"/>
        <w:jc w:val="both"/>
      </w:pPr>
      <w:r>
        <w:t>În perioada interbelică s-au construit şcoli în satele apar</w:t>
      </w:r>
      <w:r>
        <w:rPr>
          <w:rFonts w:ascii="Tahoma" w:hAnsi="Tahoma"/>
        </w:rPr>
        <w:t>ț</w:t>
      </w:r>
      <w:r>
        <w:t>inătoare comunei Vaşcău, păstrăvăria şi fabrica de marmură.</w:t>
      </w:r>
    </w:p>
    <w:p w14:paraId="016A0153">
      <w:pPr>
        <w:pStyle w:val="7"/>
        <w:spacing w:before="0" w:beforeAutospacing="0" w:after="0" w:afterAutospacing="0"/>
        <w:ind w:firstLine="720"/>
        <w:jc w:val="both"/>
      </w:pPr>
      <w:r>
        <w:t>În anul 1956 localitatea Vaşcău este ridicată la rangul de oraş, de care apar</w:t>
      </w:r>
      <w:r>
        <w:rPr>
          <w:rFonts w:ascii="Tahoma" w:hAnsi="Tahoma"/>
        </w:rPr>
        <w:t>ț</w:t>
      </w:r>
      <w:r>
        <w:t>in şi cele 5 sate ( localități ) componte , men</w:t>
      </w:r>
      <w:r>
        <w:rPr>
          <w:rFonts w:ascii="Tahoma" w:hAnsi="Tahoma"/>
        </w:rPr>
        <w:t>ț</w:t>
      </w:r>
      <w:r>
        <w:t>ionate mai sus.</w:t>
      </w:r>
    </w:p>
    <w:p w14:paraId="57B10ECF">
      <w:pPr>
        <w:jc w:val="center"/>
      </w:pPr>
    </w:p>
    <w:sectPr>
      <w:headerReference r:id="rId7" w:type="first"/>
      <w:footerReference r:id="rId10" w:type="first"/>
      <w:headerReference r:id="rId5" w:type="default"/>
      <w:footerReference r:id="rId8" w:type="default"/>
      <w:headerReference r:id="rId6" w:type="even"/>
      <w:footerReference r:id="rId9" w:type="even"/>
      <w:pgSz w:w="12240" w:h="15840"/>
      <w:pgMar w:top="1651"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BE974">
    <w:pPr>
      <w:pStyle w:val="4"/>
      <w:spacing w:after="0"/>
      <w:rPr>
        <w:lang w:val="ro-RO"/>
      </w:rPr>
    </w:pPr>
    <w:r>
      <w:rPr>
        <w:lang w:val="ro-RO"/>
      </w:rPr>
      <w:t>PREȘEDINTE   DE  ȘEDINȚĂ                                                                     CONTRASEMNEAZĂ</w:t>
    </w:r>
  </w:p>
  <w:p w14:paraId="55D479B0">
    <w:pPr>
      <w:pStyle w:val="4"/>
      <w:spacing w:after="0"/>
      <w:rPr>
        <w:lang w:val="ro-RO"/>
      </w:rPr>
    </w:pPr>
    <w:r>
      <w:rPr>
        <w:lang w:val="ro-RO"/>
      </w:rPr>
      <w:t>LAZA - MATIUȚA LIVIU                                                           SECRETAR   GENERAL  UAT  ORAȘ  VAȘCĂU</w:t>
    </w:r>
  </w:p>
  <w:p w14:paraId="5A9688D8">
    <w:pPr>
      <w:pStyle w:val="4"/>
      <w:spacing w:after="0"/>
      <w:rPr>
        <w:lang w:val="ro-RO"/>
      </w:rPr>
    </w:pPr>
    <w:r>
      <w:rPr>
        <w:lang w:val="ro-RO"/>
      </w:rPr>
      <w:t xml:space="preserve">                                                                                                                       POP  RODICA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8934">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5AFCB">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505CD">
    <w:pPr>
      <w:pStyle w:val="5"/>
    </w:pPr>
    <w:r>
      <w:rPr>
        <w:lang/>
      </w:rPr>
      <w:drawing>
        <wp:anchor distT="0" distB="0" distL="114300" distR="114300" simplePos="0" relativeHeight="251659264" behindDoc="0" locked="0" layoutInCell="1" allowOverlap="1">
          <wp:simplePos x="0" y="0"/>
          <wp:positionH relativeFrom="margin">
            <wp:posOffset>5321935</wp:posOffset>
          </wp:positionH>
          <wp:positionV relativeFrom="margin">
            <wp:posOffset>-866775</wp:posOffset>
          </wp:positionV>
          <wp:extent cx="574040" cy="808355"/>
          <wp:effectExtent l="0" t="0" r="1651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rcRect b="6015"/>
                  <a:stretch>
                    <a:fillRect/>
                  </a:stretch>
                </pic:blipFill>
                <pic:spPr>
                  <a:xfrm>
                    <a:off x="0" y="0"/>
                    <a:ext cx="574040" cy="808355"/>
                  </a:xfrm>
                  <a:prstGeom prst="rect">
                    <a:avLst/>
                  </a:prstGeom>
                  <a:noFill/>
                  <a:ln>
                    <a:noFill/>
                  </a:ln>
                </pic:spPr>
              </pic:pic>
            </a:graphicData>
          </a:graphic>
        </wp:anchor>
      </w:drawing>
    </w:r>
    <w:r>
      <w:t>CONSILIUL  LOCAL AL ORAȘULUI VAȘCĂU</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F484E">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B318D">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isplayHorizontalDrawingGridEvery w:val="1"/>
  <w:displayVerticalDrawingGridEvery w:val="1"/>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BCC"/>
    <w:rsid w:val="00043829"/>
    <w:rsid w:val="00156E64"/>
    <w:rsid w:val="00474D19"/>
    <w:rsid w:val="004840F5"/>
    <w:rsid w:val="004D0BCC"/>
    <w:rsid w:val="005A3C6C"/>
    <w:rsid w:val="006765EA"/>
    <w:rsid w:val="00707D4C"/>
    <w:rsid w:val="007B7F1C"/>
    <w:rsid w:val="008928F7"/>
    <w:rsid w:val="0089542C"/>
    <w:rsid w:val="009F67EE"/>
    <w:rsid w:val="00A20A6B"/>
    <w:rsid w:val="00DE018E"/>
    <w:rsid w:val="00FC06D2"/>
    <w:rsid w:val="4BFC35C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paragraph" w:styleId="4">
    <w:name w:val="footer"/>
    <w:basedOn w:val="1"/>
    <w:link w:val="11"/>
    <w:unhideWhenUsed/>
    <w:uiPriority w:val="99"/>
    <w:pPr>
      <w:tabs>
        <w:tab w:val="center" w:pos="4680"/>
        <w:tab w:val="right" w:pos="9360"/>
      </w:tabs>
    </w:pPr>
  </w:style>
  <w:style w:type="paragraph" w:styleId="5">
    <w:name w:val="header"/>
    <w:basedOn w:val="1"/>
    <w:link w:val="10"/>
    <w:unhideWhenUsed/>
    <w:uiPriority w:val="99"/>
    <w:pPr>
      <w:tabs>
        <w:tab w:val="center" w:pos="4680"/>
        <w:tab w:val="right" w:pos="9360"/>
      </w:tabs>
    </w:pPr>
  </w:style>
  <w:style w:type="character" w:styleId="6">
    <w:name w:val="Hyperlink"/>
    <w:uiPriority w:val="0"/>
    <w:rPr>
      <w:color w:val="0000FF"/>
      <w:u w:val="single"/>
    </w:rPr>
  </w:style>
  <w:style w:type="paragraph" w:styleId="7">
    <w:name w:val="Normal (Web)"/>
    <w:basedOn w:val="1"/>
    <w:uiPriority w:val="0"/>
    <w:pPr>
      <w:spacing w:before="100" w:beforeAutospacing="1" w:after="100" w:afterAutospacing="1" w:line="240" w:lineRule="auto"/>
    </w:pPr>
    <w:rPr>
      <w:rFonts w:ascii="Times New Roman" w:hAnsi="Times New Roman" w:eastAsia="Times New Roman" w:cs="Times New Roman"/>
      <w:sz w:val="24"/>
      <w:szCs w:val="24"/>
      <w:lang w:val="ro-RO" w:eastAsia="ro-RO"/>
    </w:rPr>
  </w:style>
  <w:style w:type="paragraph" w:styleId="8">
    <w:name w:val="Normal Indent"/>
    <w:basedOn w:val="1"/>
    <w:semiHidden/>
    <w:unhideWhenUsed/>
    <w:uiPriority w:val="99"/>
    <w:pPr>
      <w:ind w:left="720"/>
    </w:pPr>
  </w:style>
  <w:style w:type="paragraph" w:customStyle="1" w:styleId="9">
    <w:name w:val="Caracter Caracter Char Char"/>
    <w:basedOn w:val="1"/>
    <w:next w:val="8"/>
    <w:uiPriority w:val="0"/>
    <w:pPr>
      <w:spacing w:line="240" w:lineRule="exact"/>
    </w:pPr>
    <w:rPr>
      <w:rFonts w:ascii="Tahoma" w:hAnsi="Tahoma" w:eastAsia="Times New Roman" w:cs="Times New Roman"/>
      <w:sz w:val="20"/>
      <w:szCs w:val="20"/>
    </w:rPr>
  </w:style>
  <w:style w:type="character" w:customStyle="1" w:styleId="10">
    <w:name w:val="Header Char"/>
    <w:link w:val="5"/>
    <w:uiPriority w:val="99"/>
    <w:rPr>
      <w:sz w:val="22"/>
      <w:szCs w:val="22"/>
    </w:rPr>
  </w:style>
  <w:style w:type="character" w:customStyle="1" w:styleId="11">
    <w:name w:val="Footer Char"/>
    <w:link w:val="4"/>
    <w:uiPriority w:val="99"/>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527</Words>
  <Characters>2943</Characters>
  <Lines>31</Lines>
  <Paragraphs>8</Paragraphs>
  <TotalTime>0</TotalTime>
  <ScaleCrop>false</ScaleCrop>
  <LinksUpToDate>false</LinksUpToDate>
  <CharactersWithSpaces>3502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2021-12-08T14:09:00Z</dcterms:created>
  <dc:creator>PC</dc:creator>
  <cp:lastModifiedBy>USER</cp:lastModifiedBy>
  <cp:lastPrinted>2021-12-12T14:54:00Z</cp:lastPrinted>
  <dcterms:modified xsi:type="dcterms:W3CDTF">2026-10-14T05:55:40Z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681EE11C86C54CF29154442788B6CDAB_13</vt:lpwstr>
  </property>
</Properties>
</file>